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A7" w:rsidRDefault="000B77D2" w:rsidP="003067A7">
      <w:pPr>
        <w:spacing w:after="0" w:line="240" w:lineRule="auto"/>
        <w:ind w:left="878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067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DF35A4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3067A7" w:rsidRDefault="003067A7" w:rsidP="003067A7">
      <w:pPr>
        <w:spacing w:after="0" w:line="240" w:lineRule="auto"/>
        <w:ind w:left="878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428" w:rsidRPr="00DC0246" w:rsidRDefault="009D5428" w:rsidP="009D5428">
      <w:pPr>
        <w:tabs>
          <w:tab w:val="left" w:pos="9214"/>
        </w:tabs>
        <w:spacing w:after="0" w:line="240" w:lineRule="auto"/>
        <w:ind w:left="893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9D5428" w:rsidRPr="00DC0246" w:rsidRDefault="009D5428" w:rsidP="009D5428">
      <w:pPr>
        <w:spacing w:after="0" w:line="240" w:lineRule="auto"/>
        <w:ind w:left="8931" w:hanging="112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428" w:rsidRPr="00DC0246" w:rsidRDefault="009D5428" w:rsidP="009D5428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программе </w:t>
      </w:r>
    </w:p>
    <w:p w:rsidR="009D5428" w:rsidRPr="00DC0246" w:rsidRDefault="009D5428" w:rsidP="009D5428">
      <w:pPr>
        <w:widowControl w:val="0"/>
        <w:autoSpaceDE w:val="0"/>
        <w:autoSpaceDN w:val="0"/>
        <w:adjustRightInd w:val="0"/>
        <w:spacing w:after="0" w:line="240" w:lineRule="auto"/>
        <w:ind w:left="893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«Развитие образования Омутнинского района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Кировской области» на 2021-2027 </w:t>
      </w:r>
      <w:r w:rsidRPr="00DC0246">
        <w:rPr>
          <w:rFonts w:ascii="Times New Roman" w:eastAsia="Times New Roman" w:hAnsi="Times New Roman"/>
          <w:bCs/>
          <w:sz w:val="28"/>
          <w:szCs w:val="28"/>
          <w:lang w:eastAsia="ru-RU"/>
        </w:rPr>
        <w:t>годы</w:t>
      </w:r>
    </w:p>
    <w:p w:rsidR="009D5428" w:rsidRPr="00DC0246" w:rsidRDefault="009D5428" w:rsidP="009D54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9D5428" w:rsidRPr="00DC0246" w:rsidRDefault="009D5428" w:rsidP="009D54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МЕТОДИКА</w:t>
      </w:r>
    </w:p>
    <w:p w:rsidR="009D5428" w:rsidRPr="00DC0246" w:rsidRDefault="009D5428" w:rsidP="009D54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расчета значений показателей эффективности реализации </w:t>
      </w:r>
    </w:p>
    <w:p w:rsidR="009D5428" w:rsidRDefault="009D5428" w:rsidP="000B7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муниципальной программы «Развитие образования Омутнинского района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Кировской области» на 2021-2027</w:t>
      </w:r>
      <w:r w:rsidRPr="00DC02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</w:t>
      </w:r>
    </w:p>
    <w:p w:rsidR="00E7636B" w:rsidRPr="000B77D2" w:rsidRDefault="00E7636B" w:rsidP="000B77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5"/>
        <w:gridCol w:w="4162"/>
        <w:gridCol w:w="9529"/>
      </w:tblGrid>
      <w:tr w:rsidR="00DF35A4" w:rsidRPr="00E52825" w:rsidTr="006D3347">
        <w:trPr>
          <w:trHeight w:val="631"/>
          <w:tblHeader/>
        </w:trPr>
        <w:tc>
          <w:tcPr>
            <w:tcW w:w="1095" w:type="dxa"/>
          </w:tcPr>
          <w:p w:rsidR="00DF35A4" w:rsidRPr="00E52825" w:rsidRDefault="00DF35A4" w:rsidP="0087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62" w:type="dxa"/>
          </w:tcPr>
          <w:p w:rsidR="00DF35A4" w:rsidRPr="00E52825" w:rsidRDefault="00DF35A4" w:rsidP="0087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муниципальной программы, наименование показателя</w:t>
            </w:r>
          </w:p>
        </w:tc>
        <w:tc>
          <w:tcPr>
            <w:tcW w:w="9529" w:type="dxa"/>
          </w:tcPr>
          <w:p w:rsidR="00DF35A4" w:rsidRPr="00E52825" w:rsidRDefault="00DF35A4" w:rsidP="0087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Методика расчета значения показателя, </w:t>
            </w:r>
          </w:p>
          <w:p w:rsidR="00DF35A4" w:rsidRPr="00E52825" w:rsidRDefault="00DF35A4" w:rsidP="00875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 получения информации</w:t>
            </w:r>
          </w:p>
        </w:tc>
      </w:tr>
      <w:tr w:rsidR="00DF35A4" w:rsidRPr="00E52825" w:rsidTr="006D3347">
        <w:tc>
          <w:tcPr>
            <w:tcW w:w="1095" w:type="dxa"/>
            <w:shd w:val="clear" w:color="auto" w:fill="auto"/>
          </w:tcPr>
          <w:p w:rsidR="00DF35A4" w:rsidRPr="00E52825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4162" w:type="dxa"/>
            <w:shd w:val="clear" w:color="auto" w:fill="auto"/>
          </w:tcPr>
          <w:p w:rsidR="00DF35A4" w:rsidRPr="00E52825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Муниципальная программа «Развитие образования Омутнинского района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Кировской области» на 2021-2027</w:t>
            </w:r>
            <w:r w:rsidRPr="00E5282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9529" w:type="dxa"/>
            <w:shd w:val="clear" w:color="auto" w:fill="auto"/>
          </w:tcPr>
          <w:p w:rsidR="00DF35A4" w:rsidRPr="00E52825" w:rsidRDefault="00DF35A4" w:rsidP="00875985">
            <w:pPr>
              <w:spacing w:after="0" w:line="240" w:lineRule="auto"/>
              <w:ind w:left="150" w:hanging="150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</w:p>
        </w:tc>
      </w:tr>
      <w:tr w:rsidR="00DF35A4" w:rsidRPr="00E52825" w:rsidTr="006D3347">
        <w:tc>
          <w:tcPr>
            <w:tcW w:w="1095" w:type="dxa"/>
          </w:tcPr>
          <w:p w:rsidR="00DF35A4" w:rsidRPr="00E52825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62" w:type="dxa"/>
          </w:tcPr>
          <w:p w:rsidR="00DF35A4" w:rsidRPr="00E52825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Удельный вес численности населения в возрасте 5 - 18 лет, </w:t>
            </w:r>
          </w:p>
          <w:p w:rsidR="00DF35A4" w:rsidRPr="00E52825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F35A4" w:rsidRPr="00E52825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охваченного образованием, в общей численности населения в возрасте 5 - 18 лет</w:t>
            </w:r>
          </w:p>
        </w:tc>
        <w:tc>
          <w:tcPr>
            <w:tcW w:w="9529" w:type="dxa"/>
          </w:tcPr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30"/>
                <w:sz w:val="26"/>
                <w:szCs w:val="26"/>
                <w:lang w:eastAsia="ru-RU"/>
              </w:rPr>
              <w:drawing>
                <wp:inline distT="0" distB="0" distL="0" distR="0">
                  <wp:extent cx="1476375" cy="447675"/>
                  <wp:effectExtent l="0" t="0" r="0" b="0"/>
                  <wp:docPr id="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ДНО – удельный вес численности населения в возрасте 5 – 18 лет, охваченного образованием, в общей численности населения в возрасте 5 – 18 лет (%);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ЧНО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численность детей в дошкольных образовательных организациях согласно данным формы федерального статистического наблюдения № 85-К, утвержденной приказом Федеральной службы государственной статистики от 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18.07.2019 № 410 «Об утверждении форм федерального статистического наблюдения для организации федерального статистического наблюдения за деятельностью в сфере образования, науки, инноваций и информационных технологий» (далее – форма федерального статистического наблюдения № 85-К) (человек);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ЧНО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2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численность обучающихся общеобразовательных организаций согласно данным формы федерального статистического наблюдения № ОО-1, утвержденной приказом Федеральной службы государственной статистики от 12.08.2019 № 441 «Об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 (далее – форма федерального статистического наблюдения № ОО-1) (человек);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5-18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численность населения в возрасте от 5 до 18 лет согласно данным Территориального органа Федеральной службы государственной статистики по Кировской области (человек);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5-18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численность населения в возрасте от 5 до 18 лет, не подлежащего обучению, согласно ведомственной отчетности министерства образования Кировской области (человек).</w:t>
            </w:r>
          </w:p>
        </w:tc>
      </w:tr>
      <w:tr w:rsidR="00DF35A4" w:rsidRPr="00E52825" w:rsidTr="006D3347">
        <w:tc>
          <w:tcPr>
            <w:tcW w:w="1095" w:type="dxa"/>
          </w:tcPr>
          <w:p w:rsidR="00DF35A4" w:rsidRPr="00E52825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162" w:type="dxa"/>
          </w:tcPr>
          <w:p w:rsidR="00DF35A4" w:rsidRPr="00E52825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70C0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9529" w:type="dxa"/>
          </w:tcPr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F35A4" w:rsidRPr="00E52825" w:rsidRDefault="00D03787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3787">
              <w:pict>
                <v:group id="Полотно 48" o:spid="_x0000_s1026" editas="canvas" style="width:132.8pt;height:55.75pt;mso-position-horizontal-relative:char;mso-position-vertical-relative:line" coordsize="1686560,70802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686560;height:708025;visibility:visible">
                    <v:fill o:detectmouseclick="t"/>
                    <v:path o:connecttype="none"/>
                  </v:shape>
                  <v:line id="Line 4" o:spid="_x0000_s1028" style="position:absolute;visibility:visible" from="448945,226695" to="784225,22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1+c78AAADbAAAADwAAAGRycy9kb3ducmV2LnhtbESPzQrCMBCE74LvEFbwpqmKotUoIgq9&#10;ePDnAZZmbYvNpjZRq09vBMHjMDPfMItVY0rxoNoVlhUM+hEI4tTqgjMF59OuNwXhPLLG0jIpeJGD&#10;1bLdWmCs7ZMP9Dj6TAQIuxgV5N5XsZQuzcmg69uKOHgXWxv0QdaZ1DU+A9yUchhFE2mw4LCQY0Wb&#10;nNLr8W4UHPA9dXqWnR3ecP9OTtdZkWyV6naa9RyEp8b/w792ohWMxvD9En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1+c78AAADbAAAADwAAAAAAAAAAAAAAAACh&#10;AgAAZHJzL2Rvd25yZXYueG1sUEsFBgAAAAAEAAQA+QAAAI0DAAAAAA==&#10;" strokeweight=".55pt"/>
                  <v:rect id="Rectangle 5" o:spid="_x0000_s1029" style="position:absolute;left:1597025;top:117475;width:44450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F35A4" w:rsidRDefault="00DF35A4" w:rsidP="00DF35A4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:</w:t>
                          </w:r>
                        </w:p>
                      </w:txbxContent>
                    </v:textbox>
                  </v:rect>
                  <v:rect id="Rectangle 6" o:spid="_x0000_s1030" style="position:absolute;left:1375410;top:117475;width:231775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F35A4" w:rsidRDefault="00DF35A4" w:rsidP="00DF35A4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где</w:t>
                          </w:r>
                        </w:p>
                      </w:txbxContent>
                    </v:textbox>
                  </v:rect>
                  <v:rect id="Rectangle 7" o:spid="_x0000_s1031" style="position:absolute;left:1158875;top:117475;width:159385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DF35A4" w:rsidRDefault="00DF35A4" w:rsidP="00DF35A4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%,</w:t>
                          </w:r>
                        </w:p>
                      </w:txbxContent>
                    </v:textbox>
                  </v:rect>
                  <v:rect id="Rectangle 8" o:spid="_x0000_s1032" style="position:absolute;left:905510;top:117475;width:251460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F35A4" w:rsidRDefault="00DF35A4" w:rsidP="00DF35A4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9" o:spid="_x0000_s1033" style="position:absolute;left:460375;top:250190;width:92075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DF35A4" w:rsidRDefault="00DF35A4" w:rsidP="00DF35A4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Ч</w:t>
                          </w:r>
                        </w:p>
                      </w:txbxContent>
                    </v:textbox>
                  </v:rect>
                  <v:rect id="Rectangle 10" o:spid="_x0000_s1034" style="position:absolute;left:495935;top:10795;width:92075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F35A4" w:rsidRDefault="00DF35A4" w:rsidP="00DF35A4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Ч</w:t>
                          </w:r>
                        </w:p>
                      </w:txbxContent>
                    </v:textbox>
                  </v:rect>
                  <v:rect id="Rectangle 11" o:spid="_x0000_s1035" style="position:absolute;left:25400;top:117475;width:106680;height:3587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F35A4" w:rsidRDefault="00DF35A4" w:rsidP="00DF35A4">
                          <w:r>
                            <w:rPr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Д</w:t>
                          </w:r>
                        </w:p>
                      </w:txbxContent>
                    </v:textbox>
                  </v:rect>
                  <v:rect id="Rectangle 12" o:spid="_x0000_s1036" style="position:absolute;left:581025;top:354965;width:53975;height:2698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F35A4" w:rsidRPr="007B236E" w:rsidRDefault="00DF35A4" w:rsidP="00DF35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B236E">
                            <w:rPr>
                              <w:sz w:val="16"/>
                              <w:szCs w:val="16"/>
                            </w:rPr>
                            <w:t>р</w:t>
                          </w:r>
                        </w:p>
                      </w:txbxContent>
                    </v:textbox>
                  </v:rect>
                  <v:rect id="Rectangle 13" o:spid="_x0000_s1037" style="position:absolute;left:616585;top:115570;width:53975;height:2698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F35A4" w:rsidRPr="007B236E" w:rsidRDefault="00DF35A4" w:rsidP="00DF35A4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о</w:t>
                          </w:r>
                        </w:p>
                      </w:txbxContent>
                    </v:textbox>
                  </v:rect>
                  <v:rect id="Rectangle 14" o:spid="_x0000_s1038" style="position:absolute;left:151130;top:222250;width:53340;height:26987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F35A4" w:rsidRPr="007B236E" w:rsidRDefault="00DF35A4" w:rsidP="00DF35A4"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15" o:spid="_x0000_s1039" style="position:absolute;left:808355;top:97790;width:90805;height:359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DF35A4" w:rsidRDefault="00DF35A4" w:rsidP="00DF35A4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v:rect id="Rectangle 16" o:spid="_x0000_s1040" style="position:absolute;left:314960;top:97790;width:90805;height:35941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F35A4" w:rsidRDefault="00DF35A4" w:rsidP="00DF35A4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п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 (%);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детей дошкольного возраста, охваченных 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программами дошкольного образования, согласно данным формы федерального статистического наблюдения № 85-К (человек);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rPr>
                <w:rFonts w:ascii="Times New Roman" w:eastAsia="Times New Roman" w:hAnsi="Times New Roman"/>
                <w:position w:val="-30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р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детей в возрасте 1 – 6 лет, скорректированная на численность детей 5 – 7 лет, обучающихся в школе, согласно данным Территориального органа Федеральной службы государственной статистики по Кировской области (человек).</w:t>
            </w:r>
          </w:p>
        </w:tc>
      </w:tr>
      <w:tr w:rsidR="00DF35A4" w:rsidRPr="00E52825" w:rsidTr="006D3347">
        <w:tc>
          <w:tcPr>
            <w:tcW w:w="1095" w:type="dxa"/>
          </w:tcPr>
          <w:p w:rsidR="00DF35A4" w:rsidRPr="00E52825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162" w:type="dxa"/>
          </w:tcPr>
          <w:p w:rsidR="00DF35A4" w:rsidRPr="00E52825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1– 6 лет</w:t>
            </w:r>
          </w:p>
        </w:tc>
        <w:tc>
          <w:tcPr>
            <w:tcW w:w="9529" w:type="dxa"/>
          </w:tcPr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noProof/>
                <w:position w:val="-30"/>
                <w:sz w:val="26"/>
                <w:szCs w:val="26"/>
                <w:lang w:eastAsia="ru-RU"/>
              </w:rPr>
              <w:drawing>
                <wp:inline distT="0" distB="0" distL="0" distR="0">
                  <wp:extent cx="1247775" cy="447675"/>
                  <wp:effectExtent l="0" t="0" r="0" b="0"/>
                  <wp:docPr id="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82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,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где: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до1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1– 6 лет (%);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до1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детей в возрасте от 1 года до 6 лет, находящихся в очереди на получение в текущем году дошкольного образования, согласно данным электронной очереди федеральной информационной системы «Электронная очередь» (человек);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оч1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детей от 1 года до 6 лет, зарегистрированных на территории Омутнинского района согласно данным формы федерального статистического наблюдения Территориального органа Федеральной службы государственной статистики по Кировской области (человек).</w:t>
            </w:r>
          </w:p>
        </w:tc>
      </w:tr>
      <w:tr w:rsidR="00DF35A4" w:rsidRPr="00E52825" w:rsidTr="006D3347">
        <w:tc>
          <w:tcPr>
            <w:tcW w:w="1095" w:type="dxa"/>
          </w:tcPr>
          <w:p w:rsidR="00DF35A4" w:rsidRPr="00E52825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62" w:type="dxa"/>
          </w:tcPr>
          <w:p w:rsidR="00DF35A4" w:rsidRPr="00E52825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9529" w:type="dxa"/>
          </w:tcPr>
          <w:p w:rsidR="00DF35A4" w:rsidRPr="00E52825" w:rsidRDefault="00DF35A4" w:rsidP="0087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-4"/>
                <w:position w:val="-24"/>
                <w:sz w:val="26"/>
                <w:szCs w:val="26"/>
                <w:lang w:eastAsia="ru-RU"/>
              </w:rPr>
              <w:drawing>
                <wp:inline distT="0" distB="0" distL="0" distR="0">
                  <wp:extent cx="1143000" cy="390525"/>
                  <wp:effectExtent l="0" t="0" r="0" b="0"/>
                  <wp:docPr id="4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82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, где:</w:t>
            </w:r>
          </w:p>
          <w:p w:rsidR="00DF35A4" w:rsidRPr="00E52825" w:rsidRDefault="00DF35A4" w:rsidP="00875985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У</w:t>
            </w: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 xml:space="preserve">вчд </w:t>
            </w:r>
            <w:r w:rsidRPr="00E52825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– удельный вес численности детей в возрасте от 0 до 3 лет, охваченных программами поддержки раннего развития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(%);</w:t>
            </w:r>
          </w:p>
          <w:p w:rsidR="00DF35A4" w:rsidRPr="00E52825" w:rsidRDefault="00DF35A4" w:rsidP="00875985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Ч</w:t>
            </w: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>до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численность детей в возрасте от 0 до 3 лет, охваченных программами поддержки раннего развития согласно данным отчетности Управления образования Омутнинского района </w:t>
            </w:r>
            <w:r w:rsidRPr="00E52825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(человек);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position w:val="-32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Ч</w:t>
            </w: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 xml:space="preserve">0-3 </w:t>
            </w: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 xml:space="preserve">– общая численность детей в возрасте от 0 до 3 в муниципальном </w:t>
            </w: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lastRenderedPageBreak/>
              <w:t>образовании согласно данным Территориального органа Федеральной службы государственной статистики по Кировской области (человек).</w:t>
            </w:r>
          </w:p>
        </w:tc>
      </w:tr>
      <w:tr w:rsidR="00DF35A4" w:rsidRPr="00E52825" w:rsidTr="006D3347">
        <w:tc>
          <w:tcPr>
            <w:tcW w:w="1095" w:type="dxa"/>
          </w:tcPr>
          <w:p w:rsidR="00DF35A4" w:rsidRPr="00E52825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4162" w:type="dxa"/>
          </w:tcPr>
          <w:p w:rsidR="00DF35A4" w:rsidRPr="00E52825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9529" w:type="dxa"/>
          </w:tcPr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position w:val="-30"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428625"/>
                  <wp:effectExtent l="0" t="0" r="0" b="0"/>
                  <wp:docPr id="5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где: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о23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учреждениях, (%);</w:t>
            </w:r>
          </w:p>
          <w:p w:rsidR="00DF35A4" w:rsidRPr="00E52825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23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обучающихся, занимающихся во вторую (третью) смену, в муниципальных общеобразовательных учреждениях в текущем году, согласно данным формы федерального статистического наблюдения № ОО-1 (человек);</w:t>
            </w:r>
          </w:p>
          <w:p w:rsidR="00DF35A4" w:rsidRPr="00E52825" w:rsidRDefault="00DF35A4" w:rsidP="00875985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pacing w:val="-4"/>
                <w:position w:val="-24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eastAsia="ru-RU"/>
              </w:rPr>
              <w:t>оч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общая численность обучающихся в муниципальных общеобразовательных учреждениях в текущем году, согласно данным формы федерального статистического наблюдения № ОО-1 (человек)</w:t>
            </w:r>
          </w:p>
        </w:tc>
      </w:tr>
      <w:tr w:rsidR="00DF35A4" w:rsidRPr="00E52825" w:rsidTr="006D3347">
        <w:tc>
          <w:tcPr>
            <w:tcW w:w="1095" w:type="dxa"/>
          </w:tcPr>
          <w:p w:rsidR="00DF35A4" w:rsidRPr="00E52825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62" w:type="dxa"/>
          </w:tcPr>
          <w:p w:rsidR="00DF35A4" w:rsidRPr="00E52825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9529" w:type="dxa"/>
          </w:tcPr>
          <w:p w:rsidR="00DF35A4" w:rsidRPr="00E52825" w:rsidRDefault="00DF35A4" w:rsidP="0087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-4"/>
                <w:position w:val="-26"/>
                <w:sz w:val="26"/>
                <w:szCs w:val="26"/>
                <w:lang w:eastAsia="ru-RU"/>
              </w:rPr>
              <w:drawing>
                <wp:inline distT="0" distB="0" distL="0" distR="0">
                  <wp:extent cx="1190625" cy="400050"/>
                  <wp:effectExtent l="0" t="0" r="0" b="0"/>
                  <wp:docPr id="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2825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, где:</w:t>
            </w:r>
          </w:p>
          <w:p w:rsidR="00DF35A4" w:rsidRPr="00E52825" w:rsidRDefault="00DF35A4" w:rsidP="00875985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У</w:t>
            </w: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>вЕГЭ</w:t>
            </w: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 xml:space="preserve"> </w:t>
            </w:r>
            <w:r w:rsidRPr="00E52825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– у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дельный вес лиц, сдавших единый государственный экзамен по обязательным предметам (русскому языку и математике) (%);</w:t>
            </w:r>
          </w:p>
          <w:p w:rsidR="00DF35A4" w:rsidRPr="00E52825" w:rsidRDefault="00DF35A4" w:rsidP="00875985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Ч</w:t>
            </w: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>сЕГЭ</w:t>
            </w: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 xml:space="preserve"> – численность 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лиц, сдавших единый государственный экзамен по обязательным предметам (русскому языку и математике) (человек) согласно отчету Кировского областного государственного автономного учреждения «Центр оценки качества образования» (человек);</w:t>
            </w:r>
          </w:p>
          <w:p w:rsidR="00DF35A4" w:rsidRPr="00E52825" w:rsidRDefault="00DF35A4" w:rsidP="00875985">
            <w:pPr>
              <w:spacing w:after="0" w:line="240" w:lineRule="auto"/>
              <w:ind w:firstLine="670"/>
              <w:jc w:val="both"/>
              <w:rPr>
                <w:rFonts w:ascii="Times New Roman" w:eastAsia="Times New Roman" w:hAnsi="Times New Roman"/>
                <w:position w:val="-32"/>
                <w:sz w:val="26"/>
                <w:szCs w:val="26"/>
                <w:lang w:eastAsia="ru-RU"/>
              </w:rPr>
            </w:pP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>Ч</w:t>
            </w: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vertAlign w:val="subscript"/>
                <w:lang w:eastAsia="ru-RU"/>
              </w:rPr>
              <w:t>уЕГЭ</w:t>
            </w:r>
            <w:r w:rsidRPr="00E52825">
              <w:rPr>
                <w:rFonts w:ascii="Times New Roman" w:eastAsia="Times New Roman" w:hAnsi="Times New Roman"/>
                <w:iCs/>
                <w:spacing w:val="-1"/>
                <w:sz w:val="26"/>
                <w:szCs w:val="26"/>
                <w:lang w:eastAsia="ru-RU"/>
              </w:rPr>
              <w:t xml:space="preserve"> - </w:t>
            </w:r>
            <w:r w:rsidRPr="00E528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численность выпускников, участвовавших в едином государственном экзамене по обязательным предметам (русскому языку и математике) (человек) согласно данным Кировского областного государственного автономного учреждения «Центр оценки качества образования» (человек).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noProof/>
                <w:color w:val="000000" w:themeColor="text1"/>
                <w:position w:val="-24"/>
                <w:sz w:val="26"/>
                <w:szCs w:val="26"/>
                <w:lang w:eastAsia="ru-RU"/>
              </w:rPr>
              <w:drawing>
                <wp:inline distT="0" distB="0" distL="0" distR="0">
                  <wp:extent cx="1276350" cy="438150"/>
                  <wp:effectExtent l="0" t="0" r="0" b="0"/>
                  <wp:docPr id="7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где: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внА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учреждений, (%);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нА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численность обучающихся, не получивших аттестат о среднем общем образовании в текущем году, согласно данным отчетам по итогам сдачи ЕГЭ, согласно отчетности Управления образования Омутнинского района (человек);</w:t>
            </w:r>
          </w:p>
          <w:p w:rsidR="00DF35A4" w:rsidRPr="00484F3A" w:rsidRDefault="00DF35A4" w:rsidP="00875985">
            <w:pPr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в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выпускников 11 классов в муниципальных общеобразовательных учреждениях в текущем году, согласно данным формы федерального статистического наблюдения № ОО-1, (человек).</w:t>
            </w:r>
          </w:p>
        </w:tc>
      </w:tr>
      <w:tr w:rsidR="006D3347" w:rsidRPr="00484F3A" w:rsidTr="006D3347">
        <w:tc>
          <w:tcPr>
            <w:tcW w:w="1095" w:type="dxa"/>
          </w:tcPr>
          <w:p w:rsidR="006D3347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62" w:type="dxa"/>
          </w:tcPr>
          <w:p w:rsidR="006D3347" w:rsidRPr="00484F3A" w:rsidRDefault="006D3347" w:rsidP="00061361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529" w:type="dxa"/>
          </w:tcPr>
          <w:p w:rsidR="006D3347" w:rsidRPr="00484F3A" w:rsidRDefault="00D03787" w:rsidP="0006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noProof/>
                <w:color w:val="000000" w:themeColor="text1"/>
                <w:position w:val="-24"/>
                <w:sz w:val="26"/>
                <w:szCs w:val="26"/>
                <w:lang w:eastAsia="ru-RU"/>
              </w:rPr>
              <w:pict>
                <v:shape id="Рисунок 28" o:spid="_x0000_i1026" type="#_x0000_t75" style="width:87.75pt;height:27pt;visibility:visible">
                  <v:imagedata r:id="rId12" o:title=""/>
                </v:shape>
              </w:pic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где:</w:t>
            </w:r>
          </w:p>
          <w:p w:rsidR="006D3347" w:rsidRPr="00484F3A" w:rsidRDefault="006D3347" w:rsidP="00061361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п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(%);</w:t>
            </w:r>
          </w:p>
          <w:p w:rsidR="006D3347" w:rsidRPr="00484F3A" w:rsidRDefault="006D3347" w:rsidP="00061361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 – численность обучающихся, получающих начальное общее образование в муниципальных образовательных организациях, получающих бесплатное горячее питание в отчетном году, согласно данным отчетности по Управлению образования Омутнинского района (человек);</w:t>
            </w:r>
          </w:p>
          <w:p w:rsidR="006D3347" w:rsidRPr="00484F3A" w:rsidRDefault="006D3347" w:rsidP="0006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position w:val="-32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с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обучающихся, получающих начальное общее образование в муниципальных образовательных организациях, согласно данным формы федерального статистического наблюдения № ОО-1 с учетом движения учащихся на 31 декабря текущего года (человек).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Обеспечены бесплатным горячим питанием обучающиеся, получающие начальное общее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образование в государственных</w:t>
            </w:r>
            <w:r w:rsidRPr="00484F3A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 xml:space="preserve">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 муниципальных образовательных организациях (человек).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position w:val="-32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Количество обучающихся,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получающих начальное общее образование в государственных и муниципальных образовательных организациях,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которые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обеспечены бесплатным горячим питанием на 31 декабря текущего года. 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noProof/>
                <w:color w:val="000000" w:themeColor="text1"/>
                <w:position w:val="-24"/>
                <w:sz w:val="26"/>
                <w:szCs w:val="26"/>
                <w:lang w:eastAsia="ru-RU"/>
              </w:rPr>
              <w:drawing>
                <wp:inline distT="0" distB="0" distL="0" distR="0">
                  <wp:extent cx="1228725" cy="390525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где: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пвк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организаций, (%);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пвк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педагогических работников муниципальных общеобразовательных организаций, имеющих высшую квалификационную категорию в текущем году, согласно данным отчетности по Управлению образования Омутнинского района, (человек);</w:t>
            </w:r>
          </w:p>
          <w:p w:rsidR="00DF35A4" w:rsidRPr="00484F3A" w:rsidRDefault="00DF35A4" w:rsidP="00875985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очп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педагогических работников муниципальных общеобразовательных организаций в текущем году, согласно данным формы федерального статистического наблюдения № ОО-1, (человек).</w:t>
            </w:r>
          </w:p>
        </w:tc>
      </w:tr>
      <w:tr w:rsidR="00DF35A4" w:rsidRPr="00484F3A" w:rsidTr="006D3347">
        <w:trPr>
          <w:trHeight w:val="3332"/>
        </w:trPr>
        <w:tc>
          <w:tcPr>
            <w:tcW w:w="1095" w:type="dxa"/>
          </w:tcPr>
          <w:p w:rsidR="00DF35A4" w:rsidRPr="00484F3A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1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Количество детей школьного</w:t>
            </w:r>
            <w:r w:rsidRPr="00484F3A">
              <w:rPr>
                <w:rFonts w:ascii="TimesNewRoman" w:hAnsi="TimesNewRoman"/>
                <w:color w:val="000000" w:themeColor="text1"/>
                <w:sz w:val="26"/>
                <w:szCs w:val="26"/>
              </w:rPr>
              <w:br/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возраста, обеспеченных питанием</w:t>
            </w:r>
            <w:r w:rsidRPr="00484F3A">
              <w:rPr>
                <w:rFonts w:ascii="TimesNewRoman" w:hAnsi="TimesNewRoman"/>
                <w:color w:val="000000" w:themeColor="text1"/>
                <w:sz w:val="26"/>
                <w:szCs w:val="26"/>
              </w:rPr>
              <w:t xml:space="preserve"> </w:t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в лагерях, организованных</w:t>
            </w:r>
            <w:r w:rsidRPr="00484F3A">
              <w:rPr>
                <w:rFonts w:ascii="TimesNewRoman" w:hAnsi="TimesNewRoman"/>
                <w:color w:val="000000" w:themeColor="text1"/>
                <w:sz w:val="26"/>
                <w:szCs w:val="26"/>
              </w:rPr>
              <w:t xml:space="preserve"> </w:t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муниципальными учреждениями,</w:t>
            </w:r>
            <w:r w:rsidRPr="00484F3A">
              <w:rPr>
                <w:rFonts w:ascii="TimesNewRoman" w:hAnsi="TimesNewRoman"/>
                <w:color w:val="000000" w:themeColor="text1"/>
                <w:sz w:val="26"/>
                <w:szCs w:val="26"/>
              </w:rPr>
              <w:br/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осуществляющими организацию</w:t>
            </w:r>
            <w:r w:rsidRPr="00484F3A">
              <w:rPr>
                <w:rFonts w:ascii="TimesNewRoman" w:hAnsi="TimesNewRoman"/>
                <w:color w:val="000000" w:themeColor="text1"/>
                <w:sz w:val="26"/>
                <w:szCs w:val="26"/>
              </w:rPr>
              <w:br/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отдыха и оздоровления детей в</w:t>
            </w:r>
            <w:r w:rsidRPr="00484F3A">
              <w:rPr>
                <w:rFonts w:ascii="TimesNewRoman" w:hAnsi="TimesNewRoman"/>
                <w:color w:val="000000" w:themeColor="text1"/>
                <w:sz w:val="26"/>
                <w:szCs w:val="26"/>
              </w:rPr>
              <w:br/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каникулярное время, с дневным</w:t>
            </w:r>
            <w:r w:rsidRPr="00484F3A">
              <w:rPr>
                <w:rFonts w:ascii="TimesNewRoman" w:hAnsi="TimesNewRoman"/>
                <w:color w:val="000000" w:themeColor="text1"/>
                <w:sz w:val="26"/>
                <w:szCs w:val="26"/>
              </w:rPr>
              <w:br/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пребыванием</w:t>
            </w:r>
          </w:p>
        </w:tc>
        <w:tc>
          <w:tcPr>
            <w:tcW w:w="9529" w:type="dxa"/>
          </w:tcPr>
          <w:p w:rsidR="00DF35A4" w:rsidRPr="00484F3A" w:rsidRDefault="00DF35A4" w:rsidP="006D3347">
            <w:pPr>
              <w:spacing w:after="0" w:line="240" w:lineRule="auto"/>
              <w:ind w:firstLine="527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детей школьного возраста, обеспеченных питанием в лагерях, организованных муниципальными учреждения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ми, осуществляющими организацию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отдыха и оздоровления детей в каникулярное время, с дневным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 xml:space="preserve">пребыванием определяется в соответствии ежегодным отчетом министерства 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образования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Кировской области о расходовании субсидии местным бюджетам из областного бюджета и средств местного бюджета на оплату стоимости питания детей в лагерях,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 (человек) в соответствии с годовым отчетом министерства 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образования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Кировской области.</w:t>
            </w:r>
          </w:p>
        </w:tc>
      </w:tr>
      <w:tr w:rsidR="006D3347" w:rsidRPr="00484F3A" w:rsidTr="006D3347">
        <w:trPr>
          <w:trHeight w:val="3332"/>
        </w:trPr>
        <w:tc>
          <w:tcPr>
            <w:tcW w:w="1095" w:type="dxa"/>
          </w:tcPr>
          <w:p w:rsidR="006D3347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4162" w:type="dxa"/>
          </w:tcPr>
          <w:p w:rsidR="006D3347" w:rsidRPr="00484F3A" w:rsidRDefault="006D3347" w:rsidP="00061361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педагогических работников муниципальных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9529" w:type="dxa"/>
          </w:tcPr>
          <w:p w:rsidR="006D3347" w:rsidRPr="00484F3A" w:rsidRDefault="00D03787" w:rsidP="0006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noProof/>
                <w:color w:val="000000" w:themeColor="text1"/>
                <w:position w:val="-32"/>
                <w:sz w:val="26"/>
                <w:szCs w:val="26"/>
                <w:lang w:eastAsia="ru-RU"/>
              </w:rPr>
              <w:pict>
                <v:shape id="Рисунок 26" o:spid="_x0000_i1027" type="#_x0000_t75" style="width:96.75pt;height:36pt;visibility:visible">
                  <v:imagedata r:id="rId14" o:title=""/>
                </v:shape>
              </w:pic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где:</w:t>
            </w:r>
          </w:p>
          <w:p w:rsidR="006D3347" w:rsidRPr="00484F3A" w:rsidRDefault="006D3347" w:rsidP="0006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кр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доля педагогических работников муниципальных общеобразовательных организаций, получивших денежное вознаграждение за классное руководство, в общей численности педагогических работников такой категории, (%);</w:t>
            </w:r>
          </w:p>
          <w:p w:rsidR="006D3347" w:rsidRPr="00484F3A" w:rsidRDefault="006D3347" w:rsidP="0006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пвкр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педагогических работников в муниципальных общеобразовательных организаций, получивших денежное вознаграждение за классное руководство в текущем году, согласно отчетам по Управлению образования Омутнинского района, (человек);</w:t>
            </w:r>
          </w:p>
          <w:p w:rsidR="006D3347" w:rsidRPr="00484F3A" w:rsidRDefault="006D3347" w:rsidP="0006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position w:val="-32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очкр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педагогических работников в муниципальных общеобразовательных организаций, осуществляющих классное руководство в текущем году, согласно отчетам по Управлению образования Омутнинского района, (человек).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6D3347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1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color w:val="000000" w:themeColor="text1"/>
                <w:position w:val="-32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position w:val="-32"/>
                <w:sz w:val="26"/>
                <w:szCs w:val="26"/>
                <w:lang w:eastAsia="ru-RU"/>
              </w:rPr>
              <w:t>Количество педагогических работников образовательных организаций, которым ежемесячно обеспечены выплаты денежного вознаграждения за классное руководство на 31 декабря текущего года.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6D3347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1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color w:val="000000" w:themeColor="text1"/>
                <w:position w:val="-32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определяется в соответствии с мониторингом министерства образования Кировской области по предписаниям надзорных органов по состоянию на 31 декабря текущего года.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lastRenderedPageBreak/>
              <w:t>1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спортзалов в общеобразовательных организациях, расположенных в сельской местности и малых городах, в которых созданы условия для занятий физической культурой и спортом, определяется в соответствии с мониторингом министерства образования Кировской области по предписаниям надзорных органов по состоянию на 31 декабря текущего года.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1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детских школах искусств)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tabs>
                <w:tab w:val="center" w:pos="5315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40"/>
                <w:szCs w:val="40"/>
                <w:vertAlign w:val="subscript"/>
                <w:lang w:eastAsia="ru-RU"/>
              </w:rPr>
              <w:t>С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vertAlign w:val="subscript"/>
                <w:lang w:eastAsia="ru-RU"/>
              </w:rPr>
              <w:t>пдо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>= (Ч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vertAlign w:val="subscript"/>
                <w:lang w:eastAsia="ru-RU"/>
              </w:rPr>
              <w:t>спдо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/ Ч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vertAlign w:val="subscript"/>
                <w:lang w:eastAsia="ru-RU"/>
              </w:rPr>
              <w:t>обуч5-18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>)*100%,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где:</w:t>
            </w:r>
          </w:p>
          <w:p w:rsidR="00DF35A4" w:rsidRPr="00484F3A" w:rsidRDefault="00DF35A4" w:rsidP="0087598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8"/>
                <w:szCs w:val="40"/>
                <w:lang w:eastAsia="ru-RU"/>
              </w:rPr>
              <w:t>С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пдо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(%);</w:t>
            </w:r>
          </w:p>
          <w:p w:rsidR="00DF35A4" w:rsidRPr="00484F3A" w:rsidRDefault="00DF35A4" w:rsidP="0087598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 xml:space="preserve">спдо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– численность детей в возрасте от 5 до 18 лет, использующих для получения дополнительного образования сертификаты дополнительного образования по данным АИС «Реестр сертификатов» (человек);</w:t>
            </w:r>
          </w:p>
          <w:p w:rsidR="00DF35A4" w:rsidRPr="00484F3A" w:rsidRDefault="00DF35A4" w:rsidP="00875985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 xml:space="preserve">обуч5-18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– общая численность детей в возрасте от 5 до 18 лет, получающих дополнительное образование по программам, финансовое обеспечение которых осуществляется за счет бюджетных средств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 xml:space="preserve">согласно данным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формы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 xml:space="preserve"> федерального статистического наблюдения № 1-ДОД и № 1-ДШИ (человек)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1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Доля детей в возрасте от 5 до 18 лет, обучающихся по дополнительным образовательным программам (за исключением дополнительных предпрофессиональных программ в области искусств) за счет социального сертификата на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получение муниципальной услуги в социальной сфере, к общей численности детей в возрасте от 5 до 18 лет, проживающих на территории Омутнинского района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lastRenderedPageBreak/>
              <w:t>С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vertAlign w:val="subscript"/>
                <w:lang w:eastAsia="ru-RU"/>
              </w:rPr>
              <w:t>пф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= (Ч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vertAlign w:val="subscript"/>
                <w:lang w:eastAsia="ru-RU"/>
              </w:rPr>
              <w:t>дспф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 xml:space="preserve"> / Ч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vertAlign w:val="subscript"/>
                <w:lang w:eastAsia="ru-RU"/>
              </w:rPr>
              <w:t>5-18</w:t>
            </w:r>
            <w:r w:rsidRPr="00484F3A">
              <w:rPr>
                <w:rFonts w:ascii="Times New Roman" w:eastAsia="Times New Roman" w:hAnsi="Times New Roman"/>
                <w:i/>
                <w:color w:val="000000" w:themeColor="text1"/>
                <w:sz w:val="26"/>
                <w:szCs w:val="26"/>
                <w:lang w:eastAsia="ru-RU"/>
              </w:rPr>
              <w:t>)*100%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где:</w:t>
            </w:r>
          </w:p>
          <w:p w:rsidR="00DF35A4" w:rsidRPr="00484F3A" w:rsidRDefault="00DF35A4" w:rsidP="00875985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DF35A4" w:rsidRPr="00484F3A" w:rsidRDefault="00DF35A4" w:rsidP="0087598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пф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- доля детей в возрасте от 5 до 18 лет, использующих социальные сертификаты на получение муниципальной услуги в социальной сфере, к общей численности детей в возрасте от 5 до 18 лет, проживающих на территории Омутнинского района (%)</w:t>
            </w:r>
          </w:p>
          <w:p w:rsidR="00DF35A4" w:rsidRPr="00484F3A" w:rsidRDefault="00DF35A4" w:rsidP="0087598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дспф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детей, использующих социальные сертификаты на получение муниципальной услуги в социальной сфере по данным АИС «Реестр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сертификатов» (человек);</w:t>
            </w:r>
          </w:p>
          <w:p w:rsidR="00DF35A4" w:rsidRPr="00484F3A" w:rsidRDefault="00DF35A4" w:rsidP="0087598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 xml:space="preserve">5-18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- численность детей в возрасте от 5 до 18 лет, проживающих на территории Омутнинского района по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данным Территориального органа Федеральной службы государственной статистики по Кировской области (человек)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lastRenderedPageBreak/>
              <w:t>1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родителе, определяется в соответствии с формой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федерального статистического наблюдения № 103-РИК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(человек).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1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усыновление/удочерение) и под опеку (попечительство), в т.ч. по договору о приемной семье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noProof/>
                <w:color w:val="000000" w:themeColor="text1"/>
                <w:position w:val="-10"/>
                <w:sz w:val="26"/>
                <w:szCs w:val="26"/>
                <w:lang w:eastAsia="ru-RU"/>
              </w:rPr>
              <w:drawing>
                <wp:inline distT="0" distB="0" distL="0" distR="0">
                  <wp:extent cx="2543175" cy="200025"/>
                  <wp:effectExtent l="0" t="0" r="9525" b="0"/>
                  <wp:docPr id="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где:</w:t>
            </w:r>
          </w:p>
          <w:p w:rsidR="00DF35A4" w:rsidRPr="00484F3A" w:rsidRDefault="00DF35A4" w:rsidP="00875985">
            <w:pPr>
              <w:spacing w:after="0" w:line="320" w:lineRule="exact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</w:p>
          <w:p w:rsidR="00DF35A4" w:rsidRPr="00484F3A" w:rsidRDefault="00DF35A4" w:rsidP="00875985">
            <w:pPr>
              <w:spacing w:after="0" w:line="320" w:lineRule="exact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Ду –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семье,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 (%);</w:t>
            </w:r>
          </w:p>
          <w:p w:rsidR="00DF35A4" w:rsidRPr="00484F3A" w:rsidRDefault="00DF35A4" w:rsidP="00875985">
            <w:pPr>
              <w:spacing w:after="0" w:line="320" w:lineRule="exact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Д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–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 численность детей, оставшихся без попечения родителей, выявленных и учтенных на конец отчетного года, согласно данным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формы федерального статистического наблюдения № 103-РИК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ru-RU"/>
              </w:rPr>
              <w:t xml:space="preserve"> (человек);</w:t>
            </w:r>
          </w:p>
          <w:p w:rsidR="00DF35A4" w:rsidRPr="00484F3A" w:rsidRDefault="00DF35A4" w:rsidP="00875985">
            <w:pPr>
              <w:spacing w:after="0" w:line="320" w:lineRule="exact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6"/>
                <w:sz w:val="26"/>
                <w:szCs w:val="26"/>
                <w:lang w:eastAsia="ru-RU"/>
              </w:rPr>
              <w:t>ДО – численность детей, оставшихся без попечения родителей, устроенных под опеку (попечительство), согласно данным формы федерального статистического наблюдения № 103-РИК (человек);</w:t>
            </w:r>
          </w:p>
          <w:p w:rsidR="00DF35A4" w:rsidRPr="00484F3A" w:rsidRDefault="00DF35A4" w:rsidP="00875985">
            <w:pPr>
              <w:spacing w:after="0" w:line="320" w:lineRule="exact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ДД – численность детей, добровольно переданных родителями по заявлению о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назначении их ребенку опекуна (попечителя), согласно данным формы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 xml:space="preserve">федерального статистического наблюдения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№ 103-РИК (человек);</w:t>
            </w:r>
          </w:p>
          <w:p w:rsidR="00DF35A4" w:rsidRPr="00484F3A" w:rsidRDefault="00DF35A4" w:rsidP="00875985">
            <w:pPr>
              <w:spacing w:after="0" w:line="320" w:lineRule="exact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ДУ – численность детей, оставшихся без попечения родителей, устроенных на усыновление (кроме отчима и мачехи), согласно данным формы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8"/>
                <w:sz w:val="26"/>
                <w:szCs w:val="26"/>
                <w:lang w:eastAsia="ru-RU"/>
              </w:rPr>
              <w:t xml:space="preserve">федерального статистического наблюдения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№ 103-РИК (человек);</w:t>
            </w:r>
          </w:p>
          <w:p w:rsidR="00DF35A4" w:rsidRPr="00484F3A" w:rsidRDefault="00DF35A4" w:rsidP="0087598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ДИ – численность детей, оставшихся без попечения родителей, устроенных на усыновление иностранными гражданами (кроме отчима и мачехи), согласно данным формы федерального статистического наблюдения № 103-РИК (человек).</w:t>
            </w:r>
          </w:p>
          <w:p w:rsidR="00DF35A4" w:rsidRPr="00484F3A" w:rsidRDefault="00DF35A4" w:rsidP="00875985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Количество проведенных мероприятий по предупреждению детского дорожно-транспортного травматизма 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Количество проведенных мероприятий по предупреждению детского дорожно-транспортного травматизма определяется в соответствии с данными ежегодного отчета Управления образования Омутнинского района о проведенных мероприятий по предупреждению детского дорожно-транспортного травматизма по состоянию на 31 декабря текущего года. 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 педагогических работников муниципальных общеобразовательных организаций, для которых в ЦНППМ ИРО Кировской области разработаны индивидуальные образовательные маршруты</w:t>
            </w:r>
          </w:p>
        </w:tc>
        <w:tc>
          <w:tcPr>
            <w:tcW w:w="9529" w:type="dxa"/>
          </w:tcPr>
          <w:p w:rsidR="00DF35A4" w:rsidRPr="00484F3A" w:rsidRDefault="00D03787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26"/>
                      <w:szCs w:val="26"/>
                      <w:lang w:eastAsia="ru-RU"/>
                    </w:rPr>
                    <m:t>Д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26"/>
                      <w:szCs w:val="26"/>
                      <w:lang w:eastAsia="ru-RU"/>
                    </w:rPr>
                    <m:t>им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color w:val="000000" w:themeColor="text1"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им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очпр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noProof/>
                  <w:color w:val="000000" w:themeColor="text1"/>
                  <w:sz w:val="26"/>
                  <w:szCs w:val="26"/>
                  <w:lang w:eastAsia="ru-RU"/>
                </w:rPr>
                <m:t>×100%</m:t>
              </m:r>
            </m:oMath>
            <w:r w:rsidR="00DF35A4"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где: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им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доля педагогических работников муниципальных общеобразовательных организаций, для которых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ЦНППМ ИРО Кировской области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разработаны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индивидуальные образовательные маршруты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(%);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им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педагогических работников  муниципальных общеобразовательных организаций, для которых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ЦНППМ ИРО Кировской области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разработаны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индивидуальные образовательные маршруты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(человек);</w:t>
            </w:r>
          </w:p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очпр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педагогических работников  муниципальных общеобразовательных организаций (человек).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 педагогических работников муниципальных общеобразовательных организаций, прошедших повышение квалификации в ЦНППМ ИРО Кировской области</w:t>
            </w:r>
          </w:p>
        </w:tc>
        <w:tc>
          <w:tcPr>
            <w:tcW w:w="9529" w:type="dxa"/>
          </w:tcPr>
          <w:p w:rsidR="00DF35A4" w:rsidRPr="00484F3A" w:rsidRDefault="00D03787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26"/>
                      <w:szCs w:val="26"/>
                      <w:lang w:eastAsia="ru-RU"/>
                    </w:rPr>
                    <m:t>Д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26"/>
                      <w:szCs w:val="26"/>
                      <w:lang w:eastAsia="ru-RU"/>
                    </w:rPr>
                    <m:t>пк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color w:val="000000" w:themeColor="text1"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пк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очпр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noProof/>
                  <w:color w:val="000000" w:themeColor="text1"/>
                  <w:sz w:val="26"/>
                  <w:szCs w:val="26"/>
                  <w:lang w:eastAsia="ru-RU"/>
                </w:rPr>
                <m:t>×100%</m:t>
              </m:r>
            </m:oMath>
            <w:r w:rsidR="00DF35A4"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где: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им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доля педагогических работников муниципальных общеобразовательных организаций,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прошедших повышение квалификации в ЦНППМ ИРО Кировской области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(%);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им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педагогических работников муниципальных общеобразовательных организаций,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прошедших повышение квалификации в ЦНППМ ИРО Кировской области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(человек);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очпр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педагогических работников муниципальных общеобразовательных организаций (человек).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муниципальных общеобразовательных организаций, принявших участие в программах повышения квалификации управленческих команд</w:t>
            </w:r>
          </w:p>
        </w:tc>
        <w:tc>
          <w:tcPr>
            <w:tcW w:w="9529" w:type="dxa"/>
          </w:tcPr>
          <w:p w:rsidR="00DF35A4" w:rsidRPr="00484F3A" w:rsidRDefault="00D03787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26"/>
                      <w:szCs w:val="26"/>
                      <w:lang w:eastAsia="ru-RU"/>
                    </w:rPr>
                    <m:t>Д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26"/>
                      <w:szCs w:val="26"/>
                      <w:lang w:eastAsia="ru-RU"/>
                    </w:rPr>
                    <m:t>опку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color w:val="000000" w:themeColor="text1"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опку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оо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noProof/>
                  <w:color w:val="000000" w:themeColor="text1"/>
                  <w:sz w:val="26"/>
                  <w:szCs w:val="26"/>
                  <w:lang w:eastAsia="ru-RU"/>
                </w:rPr>
                <m:t>×100%</m:t>
              </m:r>
            </m:oMath>
            <w:r w:rsidR="00DF35A4"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где: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опку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доля муниципальных обще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образовательных организаций, принявших участие в программах повышения квалификации управленческих команд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(%);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опку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количество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муниципальных общеобразовательных организаций, принявших участие в программах повышения квалификации управленческих команд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(человек);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оо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количество муниципальных общеобразовательных организаций (единиц).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муниципальных общеобразовательных организаций, реализующих целевую модель наставничества</w:t>
            </w:r>
          </w:p>
        </w:tc>
        <w:tc>
          <w:tcPr>
            <w:tcW w:w="9529" w:type="dxa"/>
          </w:tcPr>
          <w:p w:rsidR="00DF35A4" w:rsidRPr="00484F3A" w:rsidRDefault="00D03787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26"/>
                      <w:szCs w:val="26"/>
                      <w:lang w:eastAsia="ru-RU"/>
                    </w:rPr>
                    <m:t>Д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26"/>
                      <w:szCs w:val="26"/>
                      <w:lang w:eastAsia="ru-RU"/>
                    </w:rPr>
                    <m:t>оцмн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color w:val="000000" w:themeColor="text1"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оцмн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оо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noProof/>
                  <w:color w:val="000000" w:themeColor="text1"/>
                  <w:sz w:val="26"/>
                  <w:szCs w:val="26"/>
                  <w:lang w:eastAsia="ru-RU"/>
                </w:rPr>
                <m:t>×100%</m:t>
              </m:r>
            </m:oMath>
            <w:r w:rsidR="00DF35A4"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где: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оцмн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доля муниципальных обще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образовательных организаций, реализующих целевую модель наставничества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(%);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оцмн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количество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муниципальных общеобразовательных организаций, реализующих целевую модель наставничества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(человек);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       К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оо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количество муниципальных общеобразовательных организаций (единиц).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муниципальных общеобразовательных организаций, управленческие команды которых вовлечены в систему менторства</w:t>
            </w:r>
          </w:p>
        </w:tc>
        <w:tc>
          <w:tcPr>
            <w:tcW w:w="9529" w:type="dxa"/>
          </w:tcPr>
          <w:p w:rsidR="00DF35A4" w:rsidRPr="00484F3A" w:rsidRDefault="00D03787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 w:themeColor="text1"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 w:themeColor="text1"/>
                      <w:sz w:val="26"/>
                      <w:szCs w:val="26"/>
                      <w:lang w:eastAsia="ru-RU"/>
                    </w:rPr>
                    <m:t>Д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 w:themeColor="text1"/>
                      <w:sz w:val="26"/>
                      <w:szCs w:val="26"/>
                      <w:lang w:eastAsia="ru-RU"/>
                    </w:rPr>
                    <m:t>оом</m:t>
                  </m:r>
                </m:sub>
              </m:sSub>
              <m:r>
                <w:rPr>
                  <w:rFonts w:ascii="Cambria Math" w:eastAsia="Times New Roman" w:hAnsi="Cambria Math"/>
                  <w:color w:val="000000" w:themeColor="text1"/>
                  <w:sz w:val="26"/>
                  <w:szCs w:val="26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noProof/>
                      <w:color w:val="000000" w:themeColor="text1"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оом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noProof/>
                          <w:color w:val="000000" w:themeColor="text1"/>
                          <w:sz w:val="26"/>
                          <w:szCs w:val="26"/>
                          <w:lang w:eastAsia="ru-RU"/>
                        </w:rPr>
                        <m:t>оо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noProof/>
                  <w:color w:val="000000" w:themeColor="text1"/>
                  <w:sz w:val="26"/>
                  <w:szCs w:val="26"/>
                  <w:lang w:eastAsia="ru-RU"/>
                </w:rPr>
                <m:t>×100%</m:t>
              </m:r>
            </m:oMath>
            <w:r w:rsidR="00DF35A4"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где: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оом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доля муниципальных обще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образовательных организаций, управленческие команды которых вовлечены в систему менторства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(%);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оом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количество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муниципальных общеобразовательных организаций, управленческие команды которых вовлечены в систему менторства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(человек);</w:t>
            </w:r>
          </w:p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      К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оо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количество муниципальных общеобразовательных организаций (единиц).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2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62" w:type="dxa"/>
            <w:vAlign w:val="center"/>
          </w:tcPr>
          <w:p w:rsidR="00DF35A4" w:rsidRPr="00484F3A" w:rsidRDefault="00DF35A4" w:rsidP="00875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Количество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государственных и муниципальных общеобразовательных организаций и их структурных подразделений, в которых реализованы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состоянию на 31 декабря текущего года.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2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Количество объектов муниципальных образовательных организаций, в которых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обеспечена безопасность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     Количество объектов муниципальных образовательных организаций, в которых обеспечена безопасность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по состоянию на 31 декабря текущего года.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lastRenderedPageBreak/>
              <w:t>2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position w:val="-32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объектов,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которых 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 на 31 декабря текущего года. 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организациях, обеспеченных бесплатным двухразовым питанием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4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noProof/>
                <w:color w:val="000000" w:themeColor="text1"/>
                <w:position w:val="-24"/>
                <w:sz w:val="26"/>
                <w:szCs w:val="26"/>
                <w:lang w:eastAsia="ru-RU"/>
              </w:rPr>
              <w:drawing>
                <wp:inline distT="0" distB="0" distL="0" distR="0">
                  <wp:extent cx="1114425" cy="342900"/>
                  <wp:effectExtent l="0" t="0" r="0" b="0"/>
                  <wp:docPr id="2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, </w:t>
            </w:r>
            <w:r w:rsidRPr="00484F3A">
              <w:rPr>
                <w:rFonts w:ascii="Times New Roman" w:eastAsia="Times New Roman" w:hAnsi="Times New Roman"/>
                <w:color w:val="000000" w:themeColor="text1"/>
                <w:spacing w:val="-4"/>
                <w:sz w:val="26"/>
                <w:szCs w:val="26"/>
                <w:lang w:eastAsia="ru-RU"/>
              </w:rPr>
              <w:t>где:</w:t>
            </w:r>
          </w:p>
          <w:p w:rsidR="00DF35A4" w:rsidRPr="00484F3A" w:rsidRDefault="00DF35A4" w:rsidP="00875985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п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доля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детей-инвалидов (инвалидов), не относящихся к категории обучающихся с ограниченными возможностями здоровья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, получающих бесплатное двухразовое  питание, к общему количеству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детей-инвалидов (инвалидов), не относящихся к категории обучающихся с ограниченными возможностями здоровья,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муниципальных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обще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образовательных организациях (%);</w:t>
            </w:r>
          </w:p>
          <w:p w:rsidR="00DF35A4" w:rsidRPr="00484F3A" w:rsidRDefault="00DF35A4" w:rsidP="00875985">
            <w:pPr>
              <w:spacing w:after="0" w:line="240" w:lineRule="auto"/>
              <w:ind w:firstLine="529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Ч – численность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детей-инвалидов (инвалидов), не относящихся к категории обучающихся с ограниченными возможностями здоровья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, получающих бесплатное двухразовое питание в муниципальных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обще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образовательных организациях в отчетном году, согласно данным отчетности по Управлению образования Омутнинского района (человек);</w:t>
            </w:r>
          </w:p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Ч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vertAlign w:val="subscript"/>
                <w:lang w:eastAsia="ru-RU"/>
              </w:rPr>
              <w:t>с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– общая численность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детей-инвалидов (инвалидов), не относящихся к категории обучающихся с ограниченными возможностями здоровья,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в муниципальных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обще</w:t>
            </w: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образовательных организациях на 31 декабря текущего года (человек).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на 31 декабря  текущего года.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6D3347" w:rsidP="00875985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position w:val="-24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общеобразовательных организаций муниципального образования, обеспеченных обновленными средствами обучения для реализации образовательных программ по математике (профильный уровень) и (или) физике</w:t>
            </w:r>
            <w:r w:rsidRPr="00484F3A">
              <w:rPr>
                <w:rFonts w:ascii="Times New Roman" w:eastAsia="Times New Roman" w:hAnsi="Times New Roman"/>
                <w:noProof/>
                <w:color w:val="000000" w:themeColor="text1"/>
                <w:position w:val="-24"/>
                <w:sz w:val="26"/>
                <w:szCs w:val="26"/>
                <w:lang w:eastAsia="ru-RU"/>
              </w:rPr>
              <w:t xml:space="preserve"> 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 31 декабря текущего года.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6D3347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3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методических разработок учебного занятия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методических разработок учебного занятия на 31 декабря текущего года.</w:t>
            </w:r>
          </w:p>
        </w:tc>
      </w:tr>
      <w:tr w:rsidR="00DF35A4" w:rsidRPr="00484F3A" w:rsidTr="006D3347">
        <w:tc>
          <w:tcPr>
            <w:tcW w:w="1095" w:type="dxa"/>
          </w:tcPr>
          <w:p w:rsidR="00DF35A4" w:rsidRPr="00484F3A" w:rsidRDefault="00DF35A4" w:rsidP="006D3347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3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общеобразовательных организаций, в которые представлена методическая разработка учебного занятия</w:t>
            </w:r>
          </w:p>
        </w:tc>
        <w:tc>
          <w:tcPr>
            <w:tcW w:w="9529" w:type="dxa"/>
          </w:tcPr>
          <w:p w:rsidR="00DF35A4" w:rsidRPr="00484F3A" w:rsidRDefault="00DF35A4" w:rsidP="0087598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общеобразовательных организаций, в которые представлена методическая разработка учебного занятия на 31 декабря текущего года.</w:t>
            </w:r>
          </w:p>
        </w:tc>
      </w:tr>
      <w:tr w:rsidR="00DF35A4" w:rsidRPr="00484F3A" w:rsidTr="006D3347">
        <w:trPr>
          <w:trHeight w:val="915"/>
        </w:trPr>
        <w:tc>
          <w:tcPr>
            <w:tcW w:w="1095" w:type="dxa"/>
          </w:tcPr>
          <w:p w:rsidR="00DF35A4" w:rsidRPr="00484F3A" w:rsidRDefault="00DF35A4" w:rsidP="006D3347">
            <w:pPr>
              <w:spacing w:after="0" w:line="322" w:lineRule="exact"/>
              <w:ind w:right="5"/>
              <w:jc w:val="center"/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3</w:t>
            </w:r>
            <w:r w:rsidR="006D3347" w:rsidRPr="00484F3A">
              <w:rPr>
                <w:rFonts w:ascii="Times New Roman" w:eastAsia="Times New Roman" w:hAnsi="Times New Roman"/>
                <w:color w:val="000000" w:themeColor="text1"/>
                <w:spacing w:val="-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62" w:type="dxa"/>
          </w:tcPr>
          <w:p w:rsidR="00DF35A4" w:rsidRPr="00484F3A" w:rsidRDefault="00DF35A4" w:rsidP="0087598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Осуществлен</w:t>
            </w:r>
            <w:r w:rsidRPr="00484F3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капитальный ремонт и</w:t>
            </w:r>
            <w:r w:rsidRPr="00484F3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оснащение зданий</w:t>
            </w:r>
            <w:r w:rsidRPr="00484F3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дошкольных</w:t>
            </w:r>
            <w:r w:rsidRPr="00484F3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образовательных</w:t>
            </w:r>
            <w:r w:rsidRPr="00484F3A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организаций</w:t>
            </w:r>
          </w:p>
          <w:p w:rsidR="00DF35A4" w:rsidRPr="00484F3A" w:rsidRDefault="00DF35A4" w:rsidP="0087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529" w:type="dxa"/>
          </w:tcPr>
          <w:p w:rsidR="00DF35A4" w:rsidRPr="00484F3A" w:rsidRDefault="006D3347" w:rsidP="0087598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84F3A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объектов,</w:t>
            </w:r>
            <w:r w:rsidRPr="00484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которых </w:t>
            </w:r>
            <w:r w:rsidRPr="00484F3A">
              <w:rPr>
                <w:rStyle w:val="fontstyle01"/>
                <w:color w:val="000000" w:themeColor="text1"/>
                <w:sz w:val="26"/>
                <w:szCs w:val="26"/>
              </w:rPr>
              <w:t>о</w:t>
            </w:r>
            <w:r w:rsidR="00DF35A4" w:rsidRPr="00484F3A">
              <w:rPr>
                <w:rStyle w:val="fontstyle01"/>
                <w:color w:val="000000" w:themeColor="text1"/>
                <w:sz w:val="26"/>
                <w:szCs w:val="26"/>
              </w:rPr>
              <w:t>существлен</w:t>
            </w:r>
            <w:r w:rsidR="00DF35A4" w:rsidRPr="00484F3A">
              <w:rPr>
                <w:color w:val="000000" w:themeColor="text1"/>
                <w:sz w:val="26"/>
                <w:szCs w:val="26"/>
              </w:rPr>
              <w:t xml:space="preserve"> </w:t>
            </w:r>
            <w:r w:rsidR="00DF35A4" w:rsidRPr="00484F3A">
              <w:rPr>
                <w:rStyle w:val="fontstyle01"/>
                <w:color w:val="000000" w:themeColor="text1"/>
                <w:sz w:val="26"/>
                <w:szCs w:val="26"/>
              </w:rPr>
              <w:t>капитальный ремонт и</w:t>
            </w:r>
            <w:r w:rsidR="00DF35A4" w:rsidRPr="00484F3A">
              <w:rPr>
                <w:color w:val="000000" w:themeColor="text1"/>
                <w:sz w:val="26"/>
                <w:szCs w:val="26"/>
              </w:rPr>
              <w:t xml:space="preserve"> </w:t>
            </w:r>
            <w:r w:rsidR="00DF35A4" w:rsidRPr="00484F3A">
              <w:rPr>
                <w:rStyle w:val="fontstyle01"/>
                <w:color w:val="000000" w:themeColor="text1"/>
                <w:sz w:val="26"/>
                <w:szCs w:val="26"/>
              </w:rPr>
              <w:t>оснащение зданий</w:t>
            </w:r>
            <w:r w:rsidR="00DF35A4" w:rsidRPr="00484F3A">
              <w:rPr>
                <w:color w:val="000000" w:themeColor="text1"/>
                <w:sz w:val="26"/>
                <w:szCs w:val="26"/>
              </w:rPr>
              <w:t xml:space="preserve"> </w:t>
            </w:r>
            <w:r w:rsidR="00DF35A4" w:rsidRPr="00484F3A">
              <w:rPr>
                <w:rStyle w:val="fontstyle01"/>
                <w:color w:val="000000" w:themeColor="text1"/>
                <w:sz w:val="26"/>
                <w:szCs w:val="26"/>
              </w:rPr>
              <w:t>дошкольных</w:t>
            </w:r>
            <w:r w:rsidR="00DF35A4" w:rsidRPr="00484F3A">
              <w:rPr>
                <w:color w:val="000000" w:themeColor="text1"/>
                <w:sz w:val="26"/>
                <w:szCs w:val="26"/>
              </w:rPr>
              <w:t xml:space="preserve"> </w:t>
            </w:r>
            <w:r w:rsidR="00DF35A4" w:rsidRPr="00484F3A">
              <w:rPr>
                <w:rStyle w:val="fontstyle01"/>
                <w:color w:val="000000" w:themeColor="text1"/>
                <w:sz w:val="26"/>
                <w:szCs w:val="26"/>
              </w:rPr>
              <w:t>образовательных</w:t>
            </w:r>
            <w:r w:rsidR="00DF35A4" w:rsidRPr="00484F3A">
              <w:rPr>
                <w:color w:val="000000" w:themeColor="text1"/>
                <w:sz w:val="26"/>
                <w:szCs w:val="26"/>
              </w:rPr>
              <w:t xml:space="preserve"> </w:t>
            </w:r>
            <w:r w:rsidR="00DF35A4" w:rsidRPr="00484F3A">
              <w:rPr>
                <w:rStyle w:val="fontstyle01"/>
                <w:color w:val="000000" w:themeColor="text1"/>
                <w:sz w:val="26"/>
                <w:szCs w:val="26"/>
              </w:rPr>
              <w:t>организаций на 31 декабря текущего года.</w:t>
            </w:r>
          </w:p>
          <w:p w:rsidR="00DF35A4" w:rsidRPr="00484F3A" w:rsidRDefault="00DF35A4" w:rsidP="00875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</w:tr>
    </w:tbl>
    <w:p w:rsidR="00E7636B" w:rsidRPr="00484F3A" w:rsidRDefault="00E7636B" w:rsidP="003067A7">
      <w:pPr>
        <w:jc w:val="center"/>
        <w:rPr>
          <w:color w:val="000000" w:themeColor="text1"/>
        </w:rPr>
      </w:pPr>
    </w:p>
    <w:p w:rsidR="003067A7" w:rsidRPr="00484F3A" w:rsidRDefault="003067A7" w:rsidP="003067A7">
      <w:pPr>
        <w:jc w:val="center"/>
        <w:rPr>
          <w:color w:val="000000" w:themeColor="text1"/>
        </w:rPr>
      </w:pPr>
      <w:r w:rsidRPr="00484F3A">
        <w:rPr>
          <w:color w:val="000000" w:themeColor="text1"/>
        </w:rPr>
        <w:t>____________</w:t>
      </w:r>
    </w:p>
    <w:sectPr w:rsidR="003067A7" w:rsidRPr="00484F3A" w:rsidSect="001576C2">
      <w:headerReference w:type="default" r:id="rId1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C6D" w:rsidRDefault="00477C6D" w:rsidP="001576C2">
      <w:pPr>
        <w:spacing w:after="0" w:line="240" w:lineRule="auto"/>
      </w:pPr>
      <w:r>
        <w:separator/>
      </w:r>
    </w:p>
  </w:endnote>
  <w:endnote w:type="continuationSeparator" w:id="0">
    <w:p w:rsidR="00477C6D" w:rsidRDefault="00477C6D" w:rsidP="0015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C6D" w:rsidRDefault="00477C6D" w:rsidP="001576C2">
      <w:pPr>
        <w:spacing w:after="0" w:line="240" w:lineRule="auto"/>
      </w:pPr>
      <w:r>
        <w:separator/>
      </w:r>
    </w:p>
  </w:footnote>
  <w:footnote w:type="continuationSeparator" w:id="0">
    <w:p w:rsidR="00477C6D" w:rsidRDefault="00477C6D" w:rsidP="0015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8111"/>
      <w:docPartObj>
        <w:docPartGallery w:val="Page Numbers (Top of Page)"/>
        <w:docPartUnique/>
      </w:docPartObj>
    </w:sdtPr>
    <w:sdtContent>
      <w:p w:rsidR="001576C2" w:rsidRDefault="00D03787">
        <w:pPr>
          <w:pStyle w:val="a5"/>
          <w:jc w:val="center"/>
        </w:pPr>
        <w:fldSimple w:instr=" PAGE   \* MERGEFORMAT ">
          <w:r w:rsidR="00484F3A">
            <w:rPr>
              <w:noProof/>
            </w:rPr>
            <w:t>14</w:t>
          </w:r>
        </w:fldSimple>
      </w:p>
    </w:sdtContent>
  </w:sdt>
  <w:p w:rsidR="001576C2" w:rsidRDefault="001576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7A7"/>
    <w:rsid w:val="000B77D2"/>
    <w:rsid w:val="001576C2"/>
    <w:rsid w:val="001B113F"/>
    <w:rsid w:val="0026540D"/>
    <w:rsid w:val="002E4D9B"/>
    <w:rsid w:val="003067A7"/>
    <w:rsid w:val="003A759E"/>
    <w:rsid w:val="00444761"/>
    <w:rsid w:val="00477C6D"/>
    <w:rsid w:val="00484F3A"/>
    <w:rsid w:val="00581BF7"/>
    <w:rsid w:val="00584DB8"/>
    <w:rsid w:val="006D3347"/>
    <w:rsid w:val="00823841"/>
    <w:rsid w:val="00972C35"/>
    <w:rsid w:val="009D5428"/>
    <w:rsid w:val="00CB3E30"/>
    <w:rsid w:val="00D03787"/>
    <w:rsid w:val="00DF35A4"/>
    <w:rsid w:val="00E7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Lin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F35A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F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A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76C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157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76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ucom06</cp:lastModifiedBy>
  <cp:revision>6</cp:revision>
  <dcterms:created xsi:type="dcterms:W3CDTF">2025-03-21T11:08:00Z</dcterms:created>
  <dcterms:modified xsi:type="dcterms:W3CDTF">2025-04-04T12:29:00Z</dcterms:modified>
</cp:coreProperties>
</file>